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59" w:rsidRDefault="00F70059">
      <w:pPr>
        <w:spacing w:line="5" w:lineRule="exact"/>
        <w:rPr>
          <w:sz w:val="24"/>
          <w:szCs w:val="24"/>
        </w:rPr>
      </w:pPr>
      <w:bookmarkStart w:id="0" w:name="page1"/>
      <w:bookmarkEnd w:id="0"/>
    </w:p>
    <w:p w:rsidR="00F70059" w:rsidRPr="00EA7C98" w:rsidRDefault="00325981" w:rsidP="007828CA">
      <w:pPr>
        <w:spacing w:line="360" w:lineRule="auto"/>
        <w:ind w:left="27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黑体"/>
          <w:sz w:val="18"/>
          <w:szCs w:val="18"/>
        </w:rPr>
        <w:t>其他需要说明的事项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1 </w:t>
      </w:r>
      <w:r w:rsidRPr="00EA7C98">
        <w:rPr>
          <w:rFonts w:asciiTheme="minorEastAsia" w:hAnsiTheme="minorEastAsia" w:cs="宋体"/>
          <w:sz w:val="18"/>
          <w:szCs w:val="18"/>
        </w:rPr>
        <w:t>环境保护设施设计、施工和验收过程简况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1.1 </w:t>
      </w:r>
      <w:r w:rsidRPr="00EA7C98">
        <w:rPr>
          <w:rFonts w:asciiTheme="minorEastAsia" w:hAnsiTheme="minorEastAsia" w:cs="宋体"/>
          <w:sz w:val="18"/>
          <w:szCs w:val="18"/>
        </w:rPr>
        <w:t>设计简况</w:t>
      </w:r>
    </w:p>
    <w:p w:rsidR="00F70059" w:rsidRPr="00EA7C98" w:rsidRDefault="00325981" w:rsidP="007828CA">
      <w:pPr>
        <w:spacing w:line="360" w:lineRule="auto"/>
        <w:ind w:firstLine="4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泰安航天特种车有限公司生产的</w:t>
      </w:r>
      <w:r w:rsidRPr="00EA7C98">
        <w:rPr>
          <w:rFonts w:asciiTheme="minorEastAsia" w:hAnsiTheme="minorEastAsia" w:cs="宋体"/>
          <w:sz w:val="18"/>
          <w:szCs w:val="18"/>
        </w:rPr>
        <w:t>特种车在出厂前要进行行驶试验检测，在此过程中</w:t>
      </w:r>
      <w:r w:rsidRPr="00EA7C98">
        <w:rPr>
          <w:rFonts w:asciiTheme="minorEastAsia" w:hAnsiTheme="minorEastAsia" w:cs="宋体"/>
          <w:sz w:val="18"/>
          <w:szCs w:val="18"/>
        </w:rPr>
        <w:t>可能会对车辆漆膜造成损伤，需在交付前对其局部补漆。为满足</w:t>
      </w:r>
      <w:r w:rsidRPr="00EA7C98">
        <w:rPr>
          <w:rFonts w:asciiTheme="minorEastAsia" w:hAnsiTheme="minorEastAsia" w:cs="宋体"/>
          <w:sz w:val="18"/>
          <w:szCs w:val="18"/>
        </w:rPr>
        <w:t>用户需求，新研发的特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种车尺寸较大，而泰安航天特种车有限公司现有喷漆房长度不够，因此计划新建一台长</w:t>
      </w:r>
      <w:r w:rsidRPr="00EA7C98">
        <w:rPr>
          <w:rFonts w:asciiTheme="minorEastAsia" w:hAnsiTheme="minorEastAsia" w:cs="宋体"/>
          <w:sz w:val="18"/>
          <w:szCs w:val="18"/>
        </w:rPr>
        <w:t xml:space="preserve"> 42m</w:t>
      </w:r>
      <w:r w:rsidRPr="00EA7C98">
        <w:rPr>
          <w:rFonts w:asciiTheme="minorEastAsia" w:hAnsiTheme="minorEastAsia" w:cs="宋体"/>
          <w:sz w:val="18"/>
          <w:szCs w:val="18"/>
        </w:rPr>
        <w:t>、</w:t>
      </w:r>
      <w:r w:rsidRPr="00EA7C98">
        <w:rPr>
          <w:rFonts w:asciiTheme="minorEastAsia" w:hAnsiTheme="minorEastAsia" w:cs="宋体"/>
          <w:sz w:val="18"/>
          <w:szCs w:val="18"/>
        </w:rPr>
        <w:t>宽</w:t>
      </w:r>
      <w:r w:rsidRPr="00EA7C98">
        <w:rPr>
          <w:rFonts w:asciiTheme="minorEastAsia" w:hAnsiTheme="minorEastAsia" w:cs="宋体"/>
          <w:sz w:val="18"/>
          <w:szCs w:val="18"/>
        </w:rPr>
        <w:t xml:space="preserve"> 6.5m</w:t>
      </w:r>
      <w:r w:rsidRPr="00EA7C98">
        <w:rPr>
          <w:rFonts w:asciiTheme="minorEastAsia" w:hAnsiTheme="minorEastAsia" w:cs="宋体"/>
          <w:sz w:val="18"/>
          <w:szCs w:val="18"/>
        </w:rPr>
        <w:t>、高</w:t>
      </w:r>
      <w:r w:rsidRPr="00EA7C98">
        <w:rPr>
          <w:rFonts w:asciiTheme="minorEastAsia" w:hAnsiTheme="minorEastAsia" w:cs="宋体"/>
          <w:sz w:val="18"/>
          <w:szCs w:val="18"/>
        </w:rPr>
        <w:t xml:space="preserve"> 5.5m </w:t>
      </w:r>
      <w:r w:rsidRPr="00EA7C98">
        <w:rPr>
          <w:rFonts w:asciiTheme="minorEastAsia" w:hAnsiTheme="minorEastAsia" w:cs="宋体"/>
          <w:sz w:val="18"/>
          <w:szCs w:val="18"/>
        </w:rPr>
        <w:t>的干式整车补漆室，废气处理设施依托现有喷漆房，处理工艺为</w:t>
      </w:r>
      <w:r w:rsidRPr="00EA7C98">
        <w:rPr>
          <w:rFonts w:asciiTheme="minorEastAsia" w:hAnsiTheme="minorEastAsia" w:cs="宋体"/>
          <w:sz w:val="18"/>
          <w:szCs w:val="18"/>
        </w:rPr>
        <w:t>“</w:t>
      </w:r>
      <w:r w:rsidRPr="00EA7C98">
        <w:rPr>
          <w:rFonts w:asciiTheme="minorEastAsia" w:hAnsiTheme="minorEastAsia" w:cs="宋体"/>
          <w:sz w:val="18"/>
          <w:szCs w:val="18"/>
        </w:rPr>
        <w:t>干式过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滤</w:t>
      </w:r>
      <w:r w:rsidRPr="00EA7C98">
        <w:rPr>
          <w:rFonts w:asciiTheme="minorEastAsia" w:hAnsiTheme="minorEastAsia" w:cs="宋体"/>
          <w:sz w:val="18"/>
          <w:szCs w:val="18"/>
        </w:rPr>
        <w:t>+</w:t>
      </w:r>
      <w:r w:rsidRPr="00EA7C98">
        <w:rPr>
          <w:rFonts w:asciiTheme="minorEastAsia" w:hAnsiTheme="minorEastAsia" w:cs="宋体"/>
          <w:sz w:val="18"/>
          <w:szCs w:val="18"/>
        </w:rPr>
        <w:t>活性炭吸附</w:t>
      </w:r>
      <w:r w:rsidRPr="00EA7C98">
        <w:rPr>
          <w:rFonts w:asciiTheme="minorEastAsia" w:hAnsiTheme="minorEastAsia" w:cs="宋体"/>
          <w:sz w:val="18"/>
          <w:szCs w:val="18"/>
        </w:rPr>
        <w:t>/</w:t>
      </w:r>
      <w:r w:rsidRPr="00EA7C98">
        <w:rPr>
          <w:rFonts w:asciiTheme="minorEastAsia" w:hAnsiTheme="minorEastAsia" w:cs="宋体"/>
          <w:sz w:val="18"/>
          <w:szCs w:val="18"/>
        </w:rPr>
        <w:t>脱附</w:t>
      </w:r>
      <w:r w:rsidRPr="00EA7C98">
        <w:rPr>
          <w:rFonts w:asciiTheme="minorEastAsia" w:hAnsiTheme="minorEastAsia" w:cs="宋体"/>
          <w:sz w:val="18"/>
          <w:szCs w:val="18"/>
        </w:rPr>
        <w:t xml:space="preserve">+RCO </w:t>
      </w:r>
      <w:r w:rsidRPr="00EA7C98">
        <w:rPr>
          <w:rFonts w:asciiTheme="minorEastAsia" w:hAnsiTheme="minorEastAsia" w:cs="宋体"/>
          <w:sz w:val="18"/>
          <w:szCs w:val="18"/>
        </w:rPr>
        <w:t>催化燃烧</w:t>
      </w:r>
      <w:r w:rsidRPr="00EA7C98">
        <w:rPr>
          <w:rFonts w:asciiTheme="minorEastAsia" w:hAnsiTheme="minorEastAsia" w:cs="宋体"/>
          <w:sz w:val="18"/>
          <w:szCs w:val="18"/>
        </w:rPr>
        <w:t>”</w:t>
      </w:r>
      <w:r w:rsidRPr="00EA7C98">
        <w:rPr>
          <w:rFonts w:asciiTheme="minorEastAsia" w:hAnsiTheme="minorEastAsia" w:cs="宋体"/>
          <w:sz w:val="18"/>
          <w:szCs w:val="18"/>
        </w:rPr>
        <w:t>，废气经处理后通过</w:t>
      </w:r>
      <w:r w:rsidRPr="00EA7C98">
        <w:rPr>
          <w:rFonts w:asciiTheme="minorEastAsia" w:hAnsiTheme="minorEastAsia" w:cs="宋体"/>
          <w:sz w:val="18"/>
          <w:szCs w:val="18"/>
        </w:rPr>
        <w:t xml:space="preserve"> 1 </w:t>
      </w:r>
      <w:r w:rsidRPr="00EA7C98">
        <w:rPr>
          <w:rFonts w:asciiTheme="minorEastAsia" w:hAnsiTheme="minorEastAsia" w:cs="宋体"/>
          <w:sz w:val="18"/>
          <w:szCs w:val="18"/>
        </w:rPr>
        <w:t>根</w:t>
      </w:r>
      <w:r w:rsidRPr="00EA7C98">
        <w:rPr>
          <w:rFonts w:asciiTheme="minorEastAsia" w:hAnsiTheme="minorEastAsia" w:cs="宋体"/>
          <w:sz w:val="18"/>
          <w:szCs w:val="18"/>
        </w:rPr>
        <w:t xml:space="preserve"> 25m </w:t>
      </w:r>
      <w:r w:rsidRPr="00EA7C98">
        <w:rPr>
          <w:rFonts w:asciiTheme="minorEastAsia" w:hAnsiTheme="minorEastAsia" w:cs="宋体"/>
          <w:sz w:val="18"/>
          <w:szCs w:val="18"/>
        </w:rPr>
        <w:t>高排气筒排放，并安装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挥发性有机物在线监测设备。同时对现有危废暂存间废气设施进行整改，整改前废气未经处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理直接排放，整改后产生的有机废气经收集后通过</w:t>
      </w:r>
      <w:r w:rsidRPr="00EA7C98">
        <w:rPr>
          <w:rFonts w:asciiTheme="minorEastAsia" w:hAnsiTheme="minorEastAsia" w:cs="宋体"/>
          <w:sz w:val="18"/>
          <w:szCs w:val="18"/>
        </w:rPr>
        <w:t xml:space="preserve">“UV </w:t>
      </w:r>
      <w:r w:rsidRPr="00EA7C98">
        <w:rPr>
          <w:rFonts w:asciiTheme="minorEastAsia" w:hAnsiTheme="minorEastAsia" w:cs="宋体"/>
          <w:sz w:val="18"/>
          <w:szCs w:val="18"/>
        </w:rPr>
        <w:t>光解</w:t>
      </w:r>
      <w:r w:rsidRPr="00EA7C98">
        <w:rPr>
          <w:rFonts w:asciiTheme="minorEastAsia" w:hAnsiTheme="minorEastAsia" w:cs="宋体"/>
          <w:sz w:val="18"/>
          <w:szCs w:val="18"/>
        </w:rPr>
        <w:t>+</w:t>
      </w:r>
      <w:r w:rsidRPr="00EA7C98">
        <w:rPr>
          <w:rFonts w:asciiTheme="minorEastAsia" w:hAnsiTheme="minorEastAsia" w:cs="宋体"/>
          <w:sz w:val="18"/>
          <w:szCs w:val="18"/>
        </w:rPr>
        <w:t>活性炭吸附</w:t>
      </w:r>
      <w:r w:rsidRPr="00EA7C98">
        <w:rPr>
          <w:rFonts w:asciiTheme="minorEastAsia" w:hAnsiTheme="minorEastAsia" w:cs="宋体"/>
          <w:sz w:val="18"/>
          <w:szCs w:val="18"/>
        </w:rPr>
        <w:t>”</w:t>
      </w:r>
      <w:r w:rsidRPr="00EA7C98">
        <w:rPr>
          <w:rFonts w:asciiTheme="minorEastAsia" w:hAnsiTheme="minorEastAsia" w:cs="宋体"/>
          <w:sz w:val="18"/>
          <w:szCs w:val="18"/>
        </w:rPr>
        <w:t>处理后通过</w:t>
      </w:r>
      <w:r w:rsidRPr="00EA7C98">
        <w:rPr>
          <w:rFonts w:asciiTheme="minorEastAsia" w:hAnsiTheme="minorEastAsia" w:cs="宋体"/>
          <w:sz w:val="18"/>
          <w:szCs w:val="18"/>
        </w:rPr>
        <w:t xml:space="preserve"> 1 </w:t>
      </w:r>
      <w:r w:rsidRPr="00EA7C98">
        <w:rPr>
          <w:rFonts w:asciiTheme="minorEastAsia" w:hAnsiTheme="minorEastAsia" w:cs="宋体"/>
          <w:sz w:val="18"/>
          <w:szCs w:val="18"/>
        </w:rPr>
        <w:t>根</w:t>
      </w:r>
      <w:r w:rsidRPr="00EA7C98">
        <w:rPr>
          <w:rFonts w:asciiTheme="minorEastAsia" w:hAnsiTheme="minorEastAsia" w:cs="宋体"/>
          <w:sz w:val="18"/>
          <w:szCs w:val="18"/>
        </w:rPr>
        <w:t xml:space="preserve"> 15m </w:t>
      </w:r>
      <w:r w:rsidRPr="00EA7C98">
        <w:rPr>
          <w:rFonts w:asciiTheme="minorEastAsia" w:hAnsiTheme="minorEastAsia" w:cs="宋体"/>
          <w:sz w:val="18"/>
          <w:szCs w:val="18"/>
        </w:rPr>
        <w:t>高排气筒排放。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ind w:right="100" w:firstLine="420"/>
        <w:jc w:val="both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为实施该项目，泰安航天特种车有限公司于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2020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8 </w:t>
      </w:r>
      <w:r w:rsidRPr="00EA7C98">
        <w:rPr>
          <w:rFonts w:asciiTheme="minorEastAsia" w:hAnsiTheme="minorEastAsia" w:cs="宋体"/>
          <w:sz w:val="18"/>
          <w:szCs w:val="18"/>
        </w:rPr>
        <w:t>月委托山东汇力环保科技有限公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司编制《综合车间整车补漆室建设项目环境影响报告表》，并于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2020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10 </w:t>
      </w:r>
      <w:r w:rsidRPr="00EA7C98">
        <w:rPr>
          <w:rFonts w:asciiTheme="minorEastAsia" w:hAnsiTheme="minorEastAsia" w:cs="宋体"/>
          <w:sz w:val="18"/>
          <w:szCs w:val="18"/>
        </w:rPr>
        <w:t>月获得泰安市生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态环境局开发区分局批复，文号为泰环审报告表【</w:t>
      </w:r>
      <w:r w:rsidRPr="00EA7C98">
        <w:rPr>
          <w:rFonts w:asciiTheme="minorEastAsia" w:hAnsiTheme="minorEastAsia" w:cs="宋体"/>
          <w:sz w:val="18"/>
          <w:szCs w:val="18"/>
        </w:rPr>
        <w:t>2020</w:t>
      </w:r>
      <w:r w:rsidRPr="00EA7C98">
        <w:rPr>
          <w:rFonts w:asciiTheme="minorEastAsia" w:hAnsiTheme="minorEastAsia" w:cs="宋体"/>
          <w:sz w:val="18"/>
          <w:szCs w:val="18"/>
        </w:rPr>
        <w:t>】</w:t>
      </w:r>
      <w:r w:rsidRPr="00EA7C98">
        <w:rPr>
          <w:rFonts w:asciiTheme="minorEastAsia" w:hAnsiTheme="minorEastAsia" w:cs="宋体"/>
          <w:sz w:val="18"/>
          <w:szCs w:val="18"/>
        </w:rPr>
        <w:t xml:space="preserve">K66 </w:t>
      </w:r>
      <w:r w:rsidRPr="00EA7C98">
        <w:rPr>
          <w:rFonts w:asciiTheme="minorEastAsia" w:hAnsiTheme="minorEastAsia" w:cs="宋体"/>
          <w:sz w:val="18"/>
          <w:szCs w:val="18"/>
        </w:rPr>
        <w:t>号。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1.2 </w:t>
      </w:r>
      <w:r w:rsidRPr="00EA7C98">
        <w:rPr>
          <w:rFonts w:asciiTheme="minorEastAsia" w:hAnsiTheme="minorEastAsia" w:cs="宋体"/>
          <w:sz w:val="18"/>
          <w:szCs w:val="18"/>
        </w:rPr>
        <w:t>施工简况</w:t>
      </w:r>
    </w:p>
    <w:p w:rsidR="00F70059" w:rsidRPr="00EA7C98" w:rsidRDefault="00325981" w:rsidP="007828CA">
      <w:pPr>
        <w:spacing w:line="360" w:lineRule="auto"/>
        <w:ind w:right="100" w:firstLine="420"/>
        <w:jc w:val="both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泰安航天特种车有限公</w:t>
      </w:r>
      <w:r w:rsidRPr="00EA7C98">
        <w:rPr>
          <w:rFonts w:asciiTheme="minorEastAsia" w:hAnsiTheme="minorEastAsia" w:cs="宋体"/>
          <w:sz w:val="18"/>
          <w:szCs w:val="18"/>
        </w:rPr>
        <w:t>司于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2021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2 </w:t>
      </w:r>
      <w:r w:rsidRPr="00EA7C98">
        <w:rPr>
          <w:rFonts w:asciiTheme="minorEastAsia" w:hAnsiTheme="minorEastAsia" w:cs="宋体"/>
          <w:sz w:val="18"/>
          <w:szCs w:val="18"/>
        </w:rPr>
        <w:t>月同山东傲天环保科技有限公司签订整车补漆室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订货合同。合同约定交货方式为交钥匙，卖方负责合同设备的设计、制造、运输、卸载、安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装、调试、试运行、验收以及培训等直至达到买房的各项要求并交付使用。项目建设过程中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合同双方共同组织实施了环境影响报告书（表）及其审批部门审批决定中提出的环境保护对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策措施。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1.3 </w:t>
      </w:r>
      <w:r w:rsidRPr="00EA7C98">
        <w:rPr>
          <w:rFonts w:asciiTheme="minorEastAsia" w:hAnsiTheme="minorEastAsia" w:cs="宋体"/>
          <w:sz w:val="18"/>
          <w:szCs w:val="18"/>
        </w:rPr>
        <w:t>验收过程简况</w:t>
      </w:r>
    </w:p>
    <w:p w:rsidR="00F70059" w:rsidRPr="00EA7C98" w:rsidRDefault="00325981" w:rsidP="007828CA">
      <w:pPr>
        <w:spacing w:line="360" w:lineRule="auto"/>
        <w:ind w:right="100" w:firstLine="420"/>
        <w:jc w:val="both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泰安航天特种车有限公司综合车间整车补漆室建设项目于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2021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10 </w:t>
      </w:r>
      <w:r w:rsidRPr="00EA7C98">
        <w:rPr>
          <w:rFonts w:asciiTheme="minorEastAsia" w:hAnsiTheme="minorEastAsia" w:cs="宋体"/>
          <w:sz w:val="18"/>
          <w:szCs w:val="18"/>
        </w:rPr>
        <w:t>月竣工，并于当月</w:t>
      </w:r>
      <w:r w:rsidRPr="00EA7C98">
        <w:rPr>
          <w:rFonts w:asciiTheme="minorEastAsia" w:hAnsiTheme="minorEastAsia" w:cs="宋体"/>
          <w:sz w:val="18"/>
          <w:szCs w:val="18"/>
        </w:rPr>
        <w:t>委托山东汇力环保科技有限公司组织本项目的环保验收，山东汇力环保科技有限公</w:t>
      </w:r>
      <w:r w:rsidRPr="00EA7C98">
        <w:rPr>
          <w:rFonts w:asciiTheme="minorEastAsia" w:hAnsiTheme="minorEastAsia" w:cs="宋体"/>
          <w:sz w:val="18"/>
          <w:szCs w:val="18"/>
        </w:rPr>
        <w:t>司组织相</w:t>
      </w:r>
      <w:r w:rsidRPr="00EA7C98">
        <w:rPr>
          <w:rFonts w:asciiTheme="minorEastAsia" w:hAnsiTheme="minorEastAsia" w:cs="宋体"/>
          <w:sz w:val="18"/>
          <w:szCs w:val="18"/>
        </w:rPr>
        <w:t>关技术人员和检测公司对建设项目进行勘查和监测后于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2021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12 </w:t>
      </w:r>
      <w:r w:rsidRPr="00EA7C98">
        <w:rPr>
          <w:rFonts w:asciiTheme="minorEastAsia" w:hAnsiTheme="minorEastAsia" w:cs="宋体"/>
          <w:sz w:val="18"/>
          <w:szCs w:val="18"/>
        </w:rPr>
        <w:t>月编制完成《综合车间整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车补漆室建设项目竣工环境保护验收监测报告表》。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ind w:right="100" w:firstLine="420"/>
        <w:jc w:val="both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2021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12 </w:t>
      </w:r>
      <w:r w:rsidRPr="00EA7C98">
        <w:rPr>
          <w:rFonts w:asciiTheme="minorEastAsia" w:hAnsiTheme="minorEastAsia" w:cs="宋体"/>
          <w:sz w:val="18"/>
          <w:szCs w:val="18"/>
        </w:rPr>
        <w:t>月</w:t>
      </w:r>
      <w:r w:rsidRPr="00EA7C98">
        <w:rPr>
          <w:rFonts w:asciiTheme="minorEastAsia" w:hAnsiTheme="minorEastAsia" w:cs="宋体"/>
          <w:sz w:val="18"/>
          <w:szCs w:val="18"/>
        </w:rPr>
        <w:t xml:space="preserve"> 26 </w:t>
      </w:r>
      <w:r w:rsidRPr="00EA7C98">
        <w:rPr>
          <w:rFonts w:asciiTheme="minorEastAsia" w:hAnsiTheme="minorEastAsia" w:cs="宋体"/>
          <w:sz w:val="18"/>
          <w:szCs w:val="18"/>
        </w:rPr>
        <w:t>日，泰安航天特种车有限公司在泰安高新区组织召开综合车间整车补</w:t>
      </w:r>
      <w:r w:rsidRPr="00EA7C98">
        <w:rPr>
          <w:rFonts w:asciiTheme="minorEastAsia" w:hAnsiTheme="minorEastAsia" w:cs="宋体"/>
          <w:sz w:val="18"/>
          <w:szCs w:val="18"/>
        </w:rPr>
        <w:t>漆室建设项目竣工环境保护验收会议。验收工作组由建设单位</w:t>
      </w:r>
      <w:r w:rsidRPr="00EA7C98">
        <w:rPr>
          <w:rFonts w:asciiTheme="minorEastAsia" w:hAnsiTheme="minorEastAsia" w:cs="宋体"/>
          <w:sz w:val="18"/>
          <w:szCs w:val="18"/>
        </w:rPr>
        <w:t>-</w:t>
      </w:r>
      <w:r w:rsidRPr="00EA7C98">
        <w:rPr>
          <w:rFonts w:asciiTheme="minorEastAsia" w:hAnsiTheme="minorEastAsia" w:cs="宋体"/>
          <w:sz w:val="18"/>
          <w:szCs w:val="18"/>
        </w:rPr>
        <w:t>泰安航天特种车有限公司、</w:t>
      </w:r>
      <w:r w:rsidRPr="00EA7C98">
        <w:rPr>
          <w:rFonts w:asciiTheme="minorEastAsia" w:hAnsiTheme="minorEastAsia" w:cs="宋体"/>
          <w:sz w:val="18"/>
          <w:szCs w:val="18"/>
        </w:rPr>
        <w:t>验收监测单位</w:t>
      </w:r>
      <w:r w:rsidRPr="00EA7C98">
        <w:rPr>
          <w:rFonts w:asciiTheme="minorEastAsia" w:hAnsiTheme="minorEastAsia" w:cs="宋体"/>
          <w:sz w:val="18"/>
          <w:szCs w:val="18"/>
        </w:rPr>
        <w:t>-</w:t>
      </w:r>
      <w:r w:rsidRPr="00EA7C98">
        <w:rPr>
          <w:rFonts w:asciiTheme="minorEastAsia" w:hAnsiTheme="minorEastAsia" w:cs="宋体"/>
          <w:sz w:val="18"/>
          <w:szCs w:val="18"/>
        </w:rPr>
        <w:t>山东碧鲁环保科技有限公司、报告编制单位</w:t>
      </w:r>
      <w:r w:rsidRPr="00EA7C98">
        <w:rPr>
          <w:rFonts w:asciiTheme="minorEastAsia" w:hAnsiTheme="minorEastAsia" w:cs="宋体"/>
          <w:sz w:val="18"/>
          <w:szCs w:val="18"/>
        </w:rPr>
        <w:t>-</w:t>
      </w:r>
      <w:r w:rsidRPr="00EA7C98">
        <w:rPr>
          <w:rFonts w:asciiTheme="minorEastAsia" w:hAnsiTheme="minorEastAsia" w:cs="宋体"/>
          <w:sz w:val="18"/>
          <w:szCs w:val="18"/>
        </w:rPr>
        <w:t>山东汇力环保科技有限公司及</w:t>
      </w:r>
      <w:r w:rsidRPr="00EA7C98">
        <w:rPr>
          <w:rFonts w:asciiTheme="minorEastAsia" w:hAnsiTheme="minorEastAsia" w:cs="宋体"/>
          <w:sz w:val="18"/>
          <w:szCs w:val="18"/>
        </w:rPr>
        <w:t xml:space="preserve"> 2</w:t>
      </w:r>
      <w:r w:rsidRPr="00EA7C98">
        <w:rPr>
          <w:rFonts w:asciiTheme="minorEastAsia" w:hAnsiTheme="minorEastAsia" w:cs="宋体"/>
          <w:sz w:val="18"/>
          <w:szCs w:val="18"/>
        </w:rPr>
        <w:t>名技术专家组成。验收组听取了该项目环境保护执行情况和竣工验收监测情况的汇报，查看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了现场，核实了</w:t>
      </w:r>
      <w:r w:rsidRPr="00EA7C98">
        <w:rPr>
          <w:rFonts w:asciiTheme="minorEastAsia" w:hAnsiTheme="minorEastAsia" w:cs="宋体"/>
          <w:sz w:val="18"/>
          <w:szCs w:val="18"/>
        </w:rPr>
        <w:t>有关资料。经认真讨论，形成验收意见如下：</w:t>
      </w:r>
    </w:p>
    <w:p w:rsidR="00F70059" w:rsidRPr="00EA7C98" w:rsidRDefault="00325981" w:rsidP="007828CA">
      <w:pPr>
        <w:spacing w:line="360" w:lineRule="auto"/>
        <w:ind w:right="100" w:firstLine="420"/>
        <w:jc w:val="both"/>
        <w:rPr>
          <w:rFonts w:asciiTheme="minorEastAsia" w:hAnsiTheme="minorEastAsia"/>
          <w:sz w:val="18"/>
          <w:szCs w:val="18"/>
        </w:rPr>
        <w:sectPr w:rsidR="00F70059" w:rsidRPr="00EA7C98">
          <w:pgSz w:w="11900" w:h="16838"/>
          <w:pgMar w:top="1440" w:right="1700" w:bottom="1440" w:left="1800" w:header="0" w:footer="0" w:gutter="0"/>
          <w:cols w:space="720" w:equalWidth="0">
            <w:col w:w="8400"/>
          </w:cols>
        </w:sectPr>
      </w:pPr>
      <w:r w:rsidRPr="00EA7C98">
        <w:rPr>
          <w:rFonts w:asciiTheme="minorEastAsia" w:hAnsiTheme="minorEastAsia" w:cs="宋体"/>
          <w:sz w:val="18"/>
          <w:szCs w:val="18"/>
        </w:rPr>
        <w:t>该项目环境保护手续齐全，在实施过程中能够按照环评及批复文件要求配套建设环境保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护设施并采取了相应的污染防治措施，污染物能够达标排放，制定了突发环境事件应急预案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并备</w:t>
      </w:r>
      <w:r w:rsidR="007828CA">
        <w:rPr>
          <w:rFonts w:asciiTheme="minorEastAsia" w:hAnsiTheme="minorEastAsia" w:cs="宋体"/>
          <w:sz w:val="18"/>
          <w:szCs w:val="18"/>
        </w:rPr>
        <w:t>案，办理了排污许可登记，符合建设项目竣工环保验收条件，验收合格</w:t>
      </w:r>
      <w:r w:rsidR="007828CA">
        <w:rPr>
          <w:rFonts w:asciiTheme="minorEastAsia" w:hAnsiTheme="minorEastAsia" w:cs="宋体" w:hint="eastAsia"/>
          <w:sz w:val="18"/>
          <w:szCs w:val="18"/>
        </w:rPr>
        <w:t>。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bookmarkStart w:id="1" w:name="page2"/>
      <w:bookmarkEnd w:id="1"/>
      <w:r w:rsidRPr="00EA7C98">
        <w:rPr>
          <w:rFonts w:asciiTheme="minorEastAsia" w:hAnsiTheme="minorEastAsia" w:cs="宋体"/>
          <w:sz w:val="18"/>
          <w:szCs w:val="18"/>
        </w:rPr>
        <w:lastRenderedPageBreak/>
        <w:t xml:space="preserve">1.4 </w:t>
      </w:r>
      <w:r w:rsidRPr="00EA7C98">
        <w:rPr>
          <w:rFonts w:asciiTheme="minorEastAsia" w:hAnsiTheme="minorEastAsia" w:cs="宋体"/>
          <w:sz w:val="18"/>
          <w:szCs w:val="18"/>
        </w:rPr>
        <w:t>公众反馈意见及处理情况</w:t>
      </w:r>
    </w:p>
    <w:p w:rsidR="00F70059" w:rsidRPr="00EA7C98" w:rsidRDefault="00325981" w:rsidP="007828CA">
      <w:pPr>
        <w:spacing w:line="360" w:lineRule="auto"/>
        <w:ind w:left="4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建设项目设计、施工和验收期间企业未收到过公众反馈意见或投诉。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2 </w:t>
      </w:r>
      <w:r w:rsidRPr="00EA7C98">
        <w:rPr>
          <w:rFonts w:asciiTheme="minorEastAsia" w:hAnsiTheme="minorEastAsia" w:cs="宋体"/>
          <w:sz w:val="18"/>
          <w:szCs w:val="18"/>
        </w:rPr>
        <w:t>其他环境保护措施的落实情况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2.1 </w:t>
      </w:r>
      <w:r w:rsidRPr="00EA7C98">
        <w:rPr>
          <w:rFonts w:asciiTheme="minorEastAsia" w:hAnsiTheme="minorEastAsia" w:cs="宋体"/>
          <w:sz w:val="18"/>
          <w:szCs w:val="18"/>
        </w:rPr>
        <w:t>环保组织机构及规章制度</w:t>
      </w:r>
    </w:p>
    <w:p w:rsidR="00F70059" w:rsidRPr="00EA7C98" w:rsidRDefault="00325981" w:rsidP="007828CA">
      <w:pPr>
        <w:spacing w:line="360" w:lineRule="auto"/>
        <w:ind w:left="4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公司成立以总经理为组长的环境保护管理工作</w:t>
      </w:r>
      <w:r w:rsidRPr="00EA7C98">
        <w:rPr>
          <w:rFonts w:asciiTheme="minorEastAsia" w:hAnsiTheme="minorEastAsia" w:cs="宋体"/>
          <w:sz w:val="18"/>
          <w:szCs w:val="18"/>
        </w:rPr>
        <w:t>领导小组，组织领导公司的环境保护管理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工作，并制定了包括</w:t>
      </w:r>
      <w:r w:rsidRPr="00EA7C98">
        <w:rPr>
          <w:rFonts w:asciiTheme="minorEastAsia" w:hAnsiTheme="minorEastAsia" w:cs="宋体"/>
          <w:sz w:val="18"/>
          <w:szCs w:val="18"/>
        </w:rPr>
        <w:t>环境保护管理办法、危险废物管理办法、危险废物污染环境防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治责任办法、危险废物事故预防与处置管理办法、突发环境事件隐患排查和治理</w:t>
      </w: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工作制度等环保规章制度。</w:t>
      </w:r>
    </w:p>
    <w:p w:rsidR="00F70059" w:rsidRPr="00EA7C98" w:rsidRDefault="00325981" w:rsidP="007828CA">
      <w:pPr>
        <w:spacing w:line="360" w:lineRule="auto"/>
        <w:ind w:left="1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2.2 </w:t>
      </w:r>
      <w:r w:rsidRPr="00EA7C98">
        <w:rPr>
          <w:rFonts w:asciiTheme="minorEastAsia" w:hAnsiTheme="minorEastAsia" w:cs="宋体"/>
          <w:sz w:val="18"/>
          <w:szCs w:val="18"/>
        </w:rPr>
        <w:t>环境风险防范措施</w:t>
      </w:r>
    </w:p>
    <w:p w:rsidR="00F70059" w:rsidRPr="00EA7C98" w:rsidRDefault="00325981" w:rsidP="007828CA">
      <w:pPr>
        <w:spacing w:line="360" w:lineRule="auto"/>
        <w:ind w:right="500" w:firstLine="420"/>
        <w:jc w:val="both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公司于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2021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12 </w:t>
      </w:r>
      <w:r w:rsidRPr="00EA7C98">
        <w:rPr>
          <w:rFonts w:asciiTheme="minorEastAsia" w:hAnsiTheme="minorEastAsia" w:cs="宋体"/>
          <w:sz w:val="18"/>
          <w:szCs w:val="18"/>
        </w:rPr>
        <w:t>月对现有的突发环境事件应急预案进行了修订，并于</w:t>
      </w:r>
      <w:r w:rsidRPr="00EA7C98">
        <w:rPr>
          <w:rFonts w:asciiTheme="minorEastAsia" w:hAnsiTheme="minorEastAsia" w:cs="宋体"/>
          <w:sz w:val="18"/>
          <w:szCs w:val="18"/>
        </w:rPr>
        <w:t xml:space="preserve"> 2022 </w:t>
      </w:r>
      <w:r w:rsidRPr="00EA7C98">
        <w:rPr>
          <w:rFonts w:asciiTheme="minorEastAsia" w:hAnsiTheme="minorEastAsia" w:cs="宋体"/>
          <w:sz w:val="18"/>
          <w:szCs w:val="18"/>
        </w:rPr>
        <w:t>年</w:t>
      </w:r>
      <w:r w:rsidRPr="00EA7C98">
        <w:rPr>
          <w:rFonts w:asciiTheme="minorEastAsia" w:hAnsiTheme="minorEastAsia" w:cs="宋体"/>
          <w:sz w:val="18"/>
          <w:szCs w:val="18"/>
        </w:rPr>
        <w:t xml:space="preserve"> 1 </w:t>
      </w:r>
      <w:r w:rsidRPr="00EA7C98">
        <w:rPr>
          <w:rFonts w:asciiTheme="minorEastAsia" w:hAnsiTheme="minorEastAsia" w:cs="宋体"/>
          <w:sz w:val="18"/>
          <w:szCs w:val="18"/>
        </w:rPr>
        <w:t>月在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泰安市生态环境局开发区分局进行了备案，备案编号为</w:t>
      </w:r>
      <w:r w:rsidRPr="00EA7C98">
        <w:rPr>
          <w:rFonts w:asciiTheme="minorEastAsia" w:hAnsiTheme="minorEastAsia" w:cs="宋体"/>
          <w:sz w:val="18"/>
          <w:szCs w:val="18"/>
        </w:rPr>
        <w:t xml:space="preserve"> 370961-2022-008-L</w:t>
      </w:r>
      <w:r w:rsidRPr="00EA7C98">
        <w:rPr>
          <w:rFonts w:asciiTheme="minorEastAsia" w:hAnsiTheme="minorEastAsia" w:cs="宋体"/>
          <w:sz w:val="18"/>
          <w:szCs w:val="18"/>
        </w:rPr>
        <w:t>。预案中明确了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区域应急联动方案并按照预案进行了演练。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ind w:left="1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2.3 </w:t>
      </w:r>
      <w:r w:rsidRPr="00EA7C98">
        <w:rPr>
          <w:rFonts w:asciiTheme="minorEastAsia" w:hAnsiTheme="minorEastAsia" w:cs="宋体"/>
          <w:sz w:val="18"/>
          <w:szCs w:val="18"/>
        </w:rPr>
        <w:t>环境监测计划</w:t>
      </w:r>
    </w:p>
    <w:p w:rsidR="00F70059" w:rsidRPr="00EA7C98" w:rsidRDefault="00325981" w:rsidP="007828CA">
      <w:pPr>
        <w:spacing w:line="360" w:lineRule="auto"/>
        <w:ind w:right="500" w:firstLine="420"/>
        <w:jc w:val="both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公司严格按照排污许可证规定制定自行监测方案并开展自行监测，监测结果表明公司污</w:t>
      </w:r>
      <w:r w:rsidRPr="00EA7C98">
        <w:rPr>
          <w:rFonts w:asciiTheme="minorEastAsia" w:hAnsiTheme="minorEastAsia" w:cs="宋体"/>
          <w:sz w:val="18"/>
          <w:szCs w:val="18"/>
        </w:rPr>
        <w:t xml:space="preserve"> </w:t>
      </w:r>
      <w:r w:rsidRPr="00EA7C98">
        <w:rPr>
          <w:rFonts w:asciiTheme="minorEastAsia" w:hAnsiTheme="minorEastAsia" w:cs="宋体"/>
          <w:sz w:val="18"/>
          <w:szCs w:val="18"/>
        </w:rPr>
        <w:t>染物排放符合排污许可证及相关标准限值要求。</w:t>
      </w:r>
    </w:p>
    <w:p w:rsidR="00F70059" w:rsidRPr="00EA7C98" w:rsidRDefault="00F70059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F70059" w:rsidRPr="00EA7C98" w:rsidRDefault="00325981" w:rsidP="007828CA">
      <w:pPr>
        <w:spacing w:line="360" w:lineRule="auto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 xml:space="preserve">3 </w:t>
      </w:r>
      <w:r w:rsidRPr="00EA7C98">
        <w:rPr>
          <w:rFonts w:asciiTheme="minorEastAsia" w:hAnsiTheme="minorEastAsia" w:cs="宋体"/>
          <w:sz w:val="18"/>
          <w:szCs w:val="18"/>
        </w:rPr>
        <w:t>整改工作情况</w:t>
      </w:r>
    </w:p>
    <w:p w:rsidR="00F70059" w:rsidRPr="00EA7C98" w:rsidRDefault="00325981" w:rsidP="007828CA">
      <w:pPr>
        <w:spacing w:line="360" w:lineRule="auto"/>
        <w:ind w:left="420"/>
        <w:rPr>
          <w:rFonts w:asciiTheme="minorEastAsia" w:hAnsiTheme="minorEastAsia"/>
          <w:sz w:val="18"/>
          <w:szCs w:val="18"/>
        </w:rPr>
      </w:pPr>
      <w:r w:rsidRPr="00EA7C98">
        <w:rPr>
          <w:rFonts w:asciiTheme="minorEastAsia" w:hAnsiTheme="minorEastAsia" w:cs="宋体"/>
          <w:sz w:val="18"/>
          <w:szCs w:val="18"/>
        </w:rPr>
        <w:t>验收组意见及整改情况见下表。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920"/>
        <w:gridCol w:w="4140"/>
        <w:gridCol w:w="30"/>
      </w:tblGrid>
      <w:tr w:rsidR="00F70059" w:rsidRPr="00EA7C98">
        <w:trPr>
          <w:trHeight w:val="61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序号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8"/>
                <w:sz w:val="18"/>
                <w:szCs w:val="18"/>
              </w:rPr>
              <w:t>验收组意见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整改情况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1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4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补充项目三同时执行及前期说明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7"/>
                <w:sz w:val="18"/>
                <w:szCs w:val="18"/>
              </w:rPr>
              <w:t>已补充，详见正文</w:t>
            </w:r>
            <w:r w:rsidRPr="00EA7C98">
              <w:rPr>
                <w:rFonts w:asciiTheme="minorEastAsia" w:hAnsiTheme="minorEastAsia" w:cs="宋体"/>
                <w:w w:val="97"/>
                <w:sz w:val="18"/>
                <w:szCs w:val="18"/>
              </w:rPr>
              <w:t xml:space="preserve"> P4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4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完善排污许可证办理及变更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6"/>
                <w:sz w:val="18"/>
                <w:szCs w:val="18"/>
              </w:rPr>
              <w:t>已完善，详见附件</w:t>
            </w:r>
            <w:r w:rsidRPr="00EA7C98">
              <w:rPr>
                <w:rFonts w:asciiTheme="minorEastAsia" w:hAnsiTheme="minorEastAsia" w:cs="宋体"/>
                <w:w w:val="96"/>
                <w:sz w:val="18"/>
                <w:szCs w:val="18"/>
              </w:rPr>
              <w:t xml:space="preserve"> 2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4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补充监测单位资质和检测报告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4"/>
                <w:sz w:val="18"/>
                <w:szCs w:val="18"/>
              </w:rPr>
              <w:t>已补充，详见附件</w:t>
            </w:r>
            <w:r w:rsidRPr="00EA7C98">
              <w:rPr>
                <w:rFonts w:asciiTheme="minorEastAsia" w:hAnsiTheme="minorEastAsia" w:cs="宋体"/>
                <w:w w:val="94"/>
                <w:sz w:val="18"/>
                <w:szCs w:val="18"/>
              </w:rPr>
              <w:t xml:space="preserve"> 9 </w:t>
            </w:r>
            <w:r w:rsidRPr="00EA7C98">
              <w:rPr>
                <w:rFonts w:asciiTheme="minorEastAsia" w:hAnsiTheme="minorEastAsia" w:cs="宋体"/>
                <w:w w:val="94"/>
                <w:sz w:val="18"/>
                <w:szCs w:val="18"/>
              </w:rPr>
              <w:t>和附件</w:t>
            </w:r>
            <w:r w:rsidRPr="00EA7C98">
              <w:rPr>
                <w:rFonts w:asciiTheme="minorEastAsia" w:hAnsiTheme="minorEastAsia" w:cs="宋体"/>
                <w:w w:val="94"/>
                <w:sz w:val="18"/>
                <w:szCs w:val="18"/>
              </w:rPr>
              <w:t xml:space="preserve"> 10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4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4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补充总量计算结论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8"/>
                <w:sz w:val="18"/>
                <w:szCs w:val="18"/>
              </w:rPr>
              <w:t>已补充，详见正文</w:t>
            </w:r>
            <w:r w:rsidRPr="00EA7C98">
              <w:rPr>
                <w:rFonts w:asciiTheme="minorEastAsia" w:hAnsiTheme="minorEastAsia" w:cs="宋体"/>
                <w:w w:val="98"/>
                <w:sz w:val="18"/>
                <w:szCs w:val="18"/>
              </w:rPr>
              <w:t xml:space="preserve"> P22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1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31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7"/>
                <w:sz w:val="18"/>
                <w:szCs w:val="18"/>
              </w:rPr>
              <w:t>补充质控</w:t>
            </w:r>
            <w:r w:rsidRPr="00EA7C98">
              <w:rPr>
                <w:rFonts w:asciiTheme="minorEastAsia" w:hAnsiTheme="minorEastAsia" w:cs="宋体"/>
                <w:w w:val="97"/>
                <w:sz w:val="18"/>
                <w:szCs w:val="18"/>
              </w:rPr>
              <w:t>措施仪器检定、实验室及现场质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8"/>
                <w:sz w:val="18"/>
                <w:szCs w:val="18"/>
              </w:rPr>
              <w:t>已补充，详见正文</w:t>
            </w:r>
            <w:r w:rsidRPr="00EA7C98">
              <w:rPr>
                <w:rFonts w:asciiTheme="minorEastAsia" w:hAnsiTheme="minorEastAsia" w:cs="宋体"/>
                <w:w w:val="98"/>
                <w:sz w:val="18"/>
                <w:szCs w:val="18"/>
              </w:rPr>
              <w:t xml:space="preserve"> p11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8"/>
                <w:sz w:val="18"/>
                <w:szCs w:val="18"/>
              </w:rPr>
              <w:t>控措施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 w:rsidTr="007828CA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4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规范一般固废暂存处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ind w:left="1140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已规范，详见附件</w:t>
            </w:r>
            <w:r w:rsidRPr="00EA7C98">
              <w:rPr>
                <w:rFonts w:asciiTheme="minorEastAsia" w:hAnsiTheme="minorEastAsia" w:cs="宋体"/>
                <w:sz w:val="18"/>
                <w:szCs w:val="18"/>
              </w:rPr>
              <w:t xml:space="preserve"> 11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1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4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9"/>
                <w:sz w:val="18"/>
                <w:szCs w:val="18"/>
              </w:rPr>
              <w:t>完善三同时表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70059" w:rsidRPr="00EA7C98" w:rsidRDefault="00325981" w:rsidP="007828C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C98">
              <w:rPr>
                <w:rFonts w:asciiTheme="minorEastAsia" w:hAnsiTheme="minorEastAsia" w:cs="宋体"/>
                <w:w w:val="97"/>
                <w:sz w:val="18"/>
                <w:szCs w:val="18"/>
              </w:rPr>
              <w:t>已完善，详见附件</w:t>
            </w:r>
            <w:r w:rsidRPr="00EA7C98">
              <w:rPr>
                <w:rFonts w:asciiTheme="minorEastAsia" w:hAnsiTheme="minorEastAsia" w:cs="宋体"/>
                <w:w w:val="97"/>
                <w:sz w:val="18"/>
                <w:szCs w:val="18"/>
              </w:rPr>
              <w:t xml:space="preserve"> 12</w:t>
            </w:r>
          </w:p>
        </w:tc>
        <w:tc>
          <w:tcPr>
            <w:tcW w:w="0" w:type="dxa"/>
            <w:vAlign w:val="bottom"/>
          </w:tcPr>
          <w:p w:rsidR="00F70059" w:rsidRPr="00EA7C98" w:rsidRDefault="00F70059" w:rsidP="007828C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0059" w:rsidRPr="00EA7C98">
        <w:trPr>
          <w:trHeight w:val="1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059" w:rsidRPr="00EA7C98" w:rsidRDefault="00F700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0059" w:rsidRPr="00EA7C98" w:rsidRDefault="00F700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70059" w:rsidRPr="00EA7C98" w:rsidRDefault="00F70059">
      <w:pPr>
        <w:spacing w:line="1" w:lineRule="exact"/>
        <w:rPr>
          <w:rFonts w:asciiTheme="minorEastAsia" w:hAnsiTheme="minorEastAsia"/>
          <w:sz w:val="18"/>
          <w:szCs w:val="18"/>
        </w:rPr>
      </w:pPr>
    </w:p>
    <w:sectPr w:rsidR="00F70059" w:rsidRPr="00EA7C98" w:rsidSect="00F70059">
      <w:pgSz w:w="11900" w:h="16838"/>
      <w:pgMar w:top="1438" w:right="1300" w:bottom="1440" w:left="1800" w:header="0" w:footer="0" w:gutter="0"/>
      <w:cols w:space="720" w:equalWidth="0">
        <w:col w:w="8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81" w:rsidRDefault="00325981" w:rsidP="00EA7C98">
      <w:r>
        <w:separator/>
      </w:r>
    </w:p>
  </w:endnote>
  <w:endnote w:type="continuationSeparator" w:id="1">
    <w:p w:rsidR="00325981" w:rsidRDefault="00325981" w:rsidP="00EA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81" w:rsidRDefault="00325981" w:rsidP="00EA7C98">
      <w:r>
        <w:separator/>
      </w:r>
    </w:p>
  </w:footnote>
  <w:footnote w:type="continuationSeparator" w:id="1">
    <w:p w:rsidR="00325981" w:rsidRDefault="00325981" w:rsidP="00EA7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0059"/>
    <w:rsid w:val="00325981"/>
    <w:rsid w:val="007828CA"/>
    <w:rsid w:val="00EA7C98"/>
    <w:rsid w:val="00F7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C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2022-08-14T09:27:00Z</dcterms:created>
  <dcterms:modified xsi:type="dcterms:W3CDTF">2022-08-14T01:36:00Z</dcterms:modified>
</cp:coreProperties>
</file>